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6E0" w:rsidRDefault="000536E0" w:rsidP="000536E0">
      <w:pPr>
        <w:bidi/>
        <w:jc w:val="both"/>
        <w:rPr>
          <w:rFonts w:cs="B Lotus"/>
          <w:sz w:val="32"/>
          <w:szCs w:val="32"/>
        </w:rPr>
      </w:pPr>
      <w:r>
        <w:rPr>
          <w:rFonts w:cs="B Lotus" w:hint="cs"/>
          <w:sz w:val="32"/>
          <w:szCs w:val="32"/>
          <w:rtl/>
        </w:rPr>
        <w:t>رسالت حسابرسی اعتبار بخشی به گزارشگری مالی و اعتمادسازی برای استفاده کنندگان صورت های مالی است و در مقابل منافع اقتصادی حسابرس نیز از طریق حق الزحمه تأمین می شود. وجود ضعف در سیستم کنترل های داخلی نیز موجب وقوع سواستفاده و تقلب در سازمان می شود و همچنین بر گزارش حسابرس مستقل تأثیر می گذارد.</w:t>
      </w:r>
    </w:p>
    <w:p w:rsidR="000536E0" w:rsidRDefault="000536E0" w:rsidP="000536E0">
      <w:pPr>
        <w:bidi/>
        <w:jc w:val="both"/>
        <w:rPr>
          <w:rFonts w:cs="B Lotus" w:hint="cs"/>
          <w:sz w:val="32"/>
          <w:szCs w:val="32"/>
          <w:rtl/>
        </w:rPr>
      </w:pPr>
      <w:r>
        <w:rPr>
          <w:rFonts w:cs="B Lotus" w:hint="cs"/>
          <w:sz w:val="32"/>
          <w:szCs w:val="32"/>
          <w:rtl/>
        </w:rPr>
        <w:t xml:space="preserve">هدف این پژوهش؛ بررسی تأثیر مالکیت سهام مدیریتی بر رابطه بین ضعف سیستم کنترل داخلی و حق الزحمه حسابرسی است. این پژوهش از نوع کاربردی بوده و روش پژوهش، توصیفی و تحلیلی است. جامعه آماری این پژوهش، شرکت های پذیرفته شده در بورس اوراق بهادار تهران از همه صنایع طی سال های 1391 تا 1395 است و نمونه این مطالعه با توجه به موضوع آن برابر 114 شرکت و به روش حذف سیستماتیک (سامانمند) انتخاب شده است. </w:t>
      </w:r>
    </w:p>
    <w:p w:rsidR="000536E0" w:rsidRDefault="000536E0" w:rsidP="000536E0">
      <w:pPr>
        <w:bidi/>
        <w:jc w:val="both"/>
        <w:rPr>
          <w:rFonts w:cs="B Lotus" w:hint="cs"/>
          <w:sz w:val="32"/>
          <w:szCs w:val="32"/>
          <w:rtl/>
        </w:rPr>
      </w:pPr>
      <w:r>
        <w:rPr>
          <w:rFonts w:cs="B Lotus" w:hint="cs"/>
          <w:sz w:val="32"/>
          <w:szCs w:val="32"/>
          <w:rtl/>
        </w:rPr>
        <w:t xml:space="preserve">نتایج به دست آمده از این پژوهش نشان داد که بین ضعف سیستم کنترل داخلی و حق الزحمه حسابرسی در سطح خطای 10% رابطه مثبت و معناداری دارد. همچنین نشان می دهد مالکیت سهام مدیریت بر تأثیر بر ضعف سیستم کنترل داخلی بر حق الزحمه اثر تعدیل کننده ای دارد.  </w:t>
      </w:r>
    </w:p>
    <w:p w:rsidR="000536E0" w:rsidRDefault="000536E0" w:rsidP="000536E0">
      <w:pPr>
        <w:bidi/>
        <w:jc w:val="both"/>
        <w:rPr>
          <w:rFonts w:cs="B Lotus" w:hint="cs"/>
          <w:sz w:val="32"/>
          <w:szCs w:val="32"/>
          <w:rtl/>
        </w:rPr>
      </w:pPr>
    </w:p>
    <w:p w:rsidR="000536E0" w:rsidRDefault="000536E0" w:rsidP="000536E0">
      <w:pPr>
        <w:pStyle w:val="Subtitle"/>
        <w:jc w:val="left"/>
        <w:rPr>
          <w:rFonts w:cs="B Lotus"/>
          <w:b/>
          <w:spacing w:val="-14"/>
          <w:sz w:val="32"/>
          <w:szCs w:val="32"/>
        </w:rPr>
      </w:pPr>
      <w:r>
        <w:rPr>
          <w:rFonts w:cs="B Lotus" w:hint="cs"/>
          <w:b/>
          <w:spacing w:val="-14"/>
          <w:sz w:val="32"/>
          <w:szCs w:val="32"/>
          <w:rtl/>
        </w:rPr>
        <w:t xml:space="preserve">کلید واژه ها: مالکیت سهام مدیریتی، حق الزحمه حسابرسی و ضعف سیستم کنترل داخلی. </w:t>
      </w:r>
    </w:p>
    <w:p w:rsidR="000536E0" w:rsidRDefault="000536E0" w:rsidP="000536E0">
      <w:pPr>
        <w:pStyle w:val="Subtitle"/>
        <w:rPr>
          <w:rFonts w:cs="B Lotus" w:hint="cs"/>
          <w:b/>
          <w:spacing w:val="-14"/>
          <w:rtl/>
        </w:rPr>
      </w:pPr>
    </w:p>
    <w:p w:rsidR="000536E0" w:rsidRDefault="000536E0" w:rsidP="000536E0">
      <w:pPr>
        <w:pStyle w:val="Subtitle"/>
        <w:rPr>
          <w:rFonts w:cs="B Lotus" w:hint="cs"/>
          <w:b/>
          <w:spacing w:val="-14"/>
          <w:rtl/>
        </w:rPr>
      </w:pPr>
    </w:p>
    <w:p w:rsidR="000536E0" w:rsidRDefault="000536E0" w:rsidP="000536E0">
      <w:pPr>
        <w:pStyle w:val="Subtitle"/>
        <w:rPr>
          <w:rFonts w:cs="B Lotus" w:hint="cs"/>
          <w:b/>
          <w:spacing w:val="-14"/>
          <w:rtl/>
        </w:rPr>
      </w:pPr>
    </w:p>
    <w:p w:rsidR="000536E0" w:rsidRDefault="000536E0" w:rsidP="000536E0">
      <w:pPr>
        <w:pStyle w:val="Subtitle"/>
        <w:rPr>
          <w:rFonts w:cs="B Lotus" w:hint="cs"/>
          <w:b/>
          <w:spacing w:val="-14"/>
          <w:rtl/>
        </w:rPr>
      </w:pPr>
    </w:p>
    <w:p w:rsidR="000536E0" w:rsidRDefault="000536E0" w:rsidP="000536E0">
      <w:pPr>
        <w:pStyle w:val="Subtitle"/>
        <w:rPr>
          <w:rFonts w:cs="B Lotus" w:hint="cs"/>
          <w:b/>
          <w:spacing w:val="-14"/>
          <w:rtl/>
        </w:rPr>
      </w:pPr>
    </w:p>
    <w:p w:rsidR="000536E0" w:rsidRDefault="000536E0" w:rsidP="000536E0">
      <w:pPr>
        <w:rPr>
          <w:rFonts w:cs="B Lotus" w:hint="cs"/>
          <w:sz w:val="28"/>
          <w:szCs w:val="28"/>
          <w:rtl/>
        </w:rPr>
      </w:pPr>
    </w:p>
    <w:p w:rsidR="000536E0" w:rsidRDefault="000536E0" w:rsidP="000536E0">
      <w:pPr>
        <w:bidi/>
        <w:spacing w:line="300" w:lineRule="auto"/>
        <w:jc w:val="center"/>
        <w:rPr>
          <w:rFonts w:ascii="B Titr,Bold" w:eastAsia="B Titr,Bold" w:hAnsi="B Titr,Bold" w:cs="B Lotus"/>
          <w:b/>
          <w:spacing w:val="-14"/>
          <w:sz w:val="28"/>
          <w:szCs w:val="28"/>
        </w:rPr>
      </w:pPr>
    </w:p>
    <w:p w:rsidR="000536E0" w:rsidRDefault="000536E0" w:rsidP="000536E0">
      <w:pPr>
        <w:bidi/>
        <w:spacing w:line="300" w:lineRule="auto"/>
        <w:jc w:val="right"/>
        <w:rPr>
          <w:rFonts w:ascii="B Titr,Bold" w:eastAsia="B Titr,Bold" w:hAnsi="B Titr,Bold" w:cs="B Lotus" w:hint="cs"/>
          <w:b/>
          <w:spacing w:val="-14"/>
          <w:sz w:val="28"/>
          <w:szCs w:val="28"/>
          <w:rtl/>
        </w:rPr>
      </w:pPr>
    </w:p>
    <w:p w:rsidR="000536E0" w:rsidRDefault="000536E0" w:rsidP="000536E0">
      <w:pPr>
        <w:bidi/>
        <w:spacing w:line="300" w:lineRule="auto"/>
        <w:jc w:val="right"/>
        <w:rPr>
          <w:rFonts w:ascii="B Titr,Bold" w:eastAsia="B Titr,Bold" w:hAnsi="B Titr,Bold" w:cs="B Titr" w:hint="cs"/>
          <w:b/>
          <w:spacing w:val="-14"/>
          <w:sz w:val="40"/>
          <w:szCs w:val="40"/>
          <w:rtl/>
        </w:rPr>
      </w:pPr>
      <w:r>
        <w:rPr>
          <w:rFonts w:ascii="B Titr,Bold" w:eastAsia="B Titr,Bold" w:hAnsi="B Titr,Bold" w:cs="B Titr" w:hint="cs"/>
          <w:b/>
          <w:spacing w:val="-14"/>
          <w:sz w:val="40"/>
          <w:szCs w:val="40"/>
          <w:rtl/>
        </w:rPr>
        <w:lastRenderedPageBreak/>
        <w:t xml:space="preserve">فصل اول </w:t>
      </w:r>
    </w:p>
    <w:p w:rsidR="000536E0" w:rsidRDefault="000536E0" w:rsidP="000536E0">
      <w:pPr>
        <w:bidi/>
        <w:spacing w:line="300" w:lineRule="auto"/>
        <w:jc w:val="right"/>
        <w:rPr>
          <w:rFonts w:ascii="Adobe Arabic" w:eastAsia="Adobe Arabic" w:hAnsi="Adobe Arabic" w:cs="B Titr" w:hint="cs"/>
          <w:spacing w:val="-14"/>
          <w:sz w:val="40"/>
          <w:szCs w:val="40"/>
          <w:rtl/>
        </w:rPr>
      </w:pPr>
      <w:r>
        <w:rPr>
          <w:rFonts w:ascii="B Titr,Bold" w:eastAsia="B Titr,Bold" w:hAnsi="B Titr,Bold" w:cs="B Titr" w:hint="cs"/>
          <w:b/>
          <w:spacing w:val="-14"/>
          <w:sz w:val="40"/>
          <w:szCs w:val="40"/>
          <w:rtl/>
        </w:rPr>
        <w:t>كليات پژوهش</w:t>
      </w:r>
    </w:p>
    <w:p w:rsidR="000536E0" w:rsidRDefault="000536E0" w:rsidP="000536E0">
      <w:pPr>
        <w:bidi/>
        <w:spacing w:line="300" w:lineRule="auto"/>
        <w:jc w:val="right"/>
        <w:rPr>
          <w:rFonts w:ascii="Adobe Arabic" w:eastAsia="Adobe Arabic" w:hAnsi="Adobe Arabic" w:cs="B Lotus" w:hint="cs"/>
          <w:spacing w:val="-14"/>
          <w:sz w:val="28"/>
          <w:szCs w:val="28"/>
          <w:rtl/>
        </w:rPr>
      </w:pPr>
    </w:p>
    <w:p w:rsidR="000536E0" w:rsidRDefault="000536E0" w:rsidP="000536E0">
      <w:pPr>
        <w:bidi/>
        <w:jc w:val="both"/>
        <w:rPr>
          <w:rFonts w:cs="B Lotus"/>
          <w:b/>
          <w:spacing w:val="-14"/>
          <w:sz w:val="28"/>
          <w:szCs w:val="28"/>
        </w:rPr>
      </w:pPr>
      <w:r>
        <w:rPr>
          <w:rFonts w:cs="B Lotus" w:hint="cs"/>
          <w:b/>
          <w:spacing w:val="-14"/>
          <w:sz w:val="28"/>
          <w:szCs w:val="28"/>
          <w:rtl/>
        </w:rPr>
        <w:t>1-1) مقدمه</w:t>
      </w:r>
    </w:p>
    <w:p w:rsidR="000536E0" w:rsidRDefault="000536E0" w:rsidP="000536E0">
      <w:pPr>
        <w:bidi/>
        <w:spacing w:line="300" w:lineRule="auto"/>
        <w:jc w:val="both"/>
        <w:rPr>
          <w:rFonts w:cs="B Lotus"/>
          <w:spacing w:val="-14"/>
          <w:sz w:val="28"/>
          <w:szCs w:val="28"/>
        </w:rPr>
      </w:pPr>
      <w:r>
        <w:rPr>
          <w:rFonts w:cs="B Lotus" w:hint="cs"/>
          <w:spacing w:val="-14"/>
          <w:sz w:val="28"/>
          <w:szCs w:val="28"/>
          <w:rtl/>
        </w:rPr>
        <w:t>مطالعات پیشین نشان می دهد که ضعف کنترل داخلی منجر به کاهش کیفیت اقلام تعهدی و افزایش احتمال گزارشگری مالی نادرست می شود( به عنوان مثال آشباق اسکیفی و همکاران</w:t>
      </w:r>
      <w:r>
        <w:rPr>
          <w:rFonts w:cs="B Lotus"/>
          <w:spacing w:val="-14"/>
          <w:sz w:val="28"/>
          <w:szCs w:val="28"/>
          <w:vertAlign w:val="superscript"/>
        </w:rPr>
        <w:footnoteReference w:id="1"/>
      </w:r>
      <w:r>
        <w:rPr>
          <w:rFonts w:cs="B Lotus" w:hint="cs"/>
          <w:spacing w:val="-14"/>
          <w:sz w:val="28"/>
          <w:szCs w:val="28"/>
          <w:rtl/>
        </w:rPr>
        <w:t xml:space="preserve"> 2008 ؛ دویل و همکاران</w:t>
      </w:r>
      <w:r>
        <w:rPr>
          <w:rFonts w:cs="B Lotus"/>
          <w:spacing w:val="-14"/>
          <w:sz w:val="28"/>
          <w:szCs w:val="28"/>
          <w:vertAlign w:val="superscript"/>
        </w:rPr>
        <w:footnoteReference w:id="2"/>
      </w:r>
      <w:r>
        <w:rPr>
          <w:rFonts w:cs="B Lotus" w:hint="cs"/>
          <w:spacing w:val="-14"/>
          <w:sz w:val="28"/>
          <w:szCs w:val="28"/>
          <w:rtl/>
        </w:rPr>
        <w:t xml:space="preserve"> 2007). این ادعا توسط برخی تحقیقات دیگر نیز تایید شده است ونشان می دهد که شرکت های با ضعف کنترل داخلی نسبت به شرکت های بدون ضعف کنترل داخلی هزینه های حسابرسی بیشتری پرداخت می کنند. ( راگاندان و راما</w:t>
      </w:r>
      <w:r>
        <w:rPr>
          <w:rFonts w:cs="B Lotus"/>
          <w:spacing w:val="-14"/>
          <w:sz w:val="28"/>
          <w:szCs w:val="28"/>
          <w:vertAlign w:val="superscript"/>
        </w:rPr>
        <w:footnoteReference w:id="3"/>
      </w:r>
      <w:r>
        <w:rPr>
          <w:rFonts w:cs="B Lotus" w:hint="cs"/>
          <w:spacing w:val="-14"/>
          <w:sz w:val="28"/>
          <w:szCs w:val="28"/>
          <w:rtl/>
        </w:rPr>
        <w:t xml:space="preserve"> 2006 ؛  هوگان و ویلکینز</w:t>
      </w:r>
      <w:r>
        <w:rPr>
          <w:rFonts w:cs="B Lotus"/>
          <w:spacing w:val="-14"/>
          <w:sz w:val="28"/>
          <w:szCs w:val="28"/>
          <w:vertAlign w:val="superscript"/>
        </w:rPr>
        <w:footnoteReference w:id="4"/>
      </w:r>
      <w:r>
        <w:rPr>
          <w:rFonts w:cs="B Lotus" w:hint="cs"/>
          <w:spacing w:val="-14"/>
          <w:sz w:val="28"/>
          <w:szCs w:val="28"/>
          <w:rtl/>
        </w:rPr>
        <w:t xml:space="preserve"> 2008 ، کریشنان و همکاران، </w:t>
      </w:r>
      <w:r>
        <w:rPr>
          <w:rFonts w:cs="B Lotus"/>
          <w:spacing w:val="-14"/>
          <w:sz w:val="28"/>
          <w:szCs w:val="28"/>
          <w:vertAlign w:val="superscript"/>
        </w:rPr>
        <w:footnoteReference w:id="5"/>
      </w:r>
      <w:r>
        <w:rPr>
          <w:rFonts w:cs="B Lotus"/>
          <w:spacing w:val="-14"/>
          <w:sz w:val="28"/>
          <w:szCs w:val="28"/>
        </w:rPr>
        <w:t xml:space="preserve"> 2008</w:t>
      </w:r>
      <w:r>
        <w:rPr>
          <w:rFonts w:cs="B Lotus" w:hint="cs"/>
          <w:spacing w:val="-14"/>
          <w:sz w:val="28"/>
          <w:szCs w:val="28"/>
          <w:rtl/>
        </w:rPr>
        <w:t xml:space="preserve">). </w:t>
      </w:r>
    </w:p>
    <w:p w:rsidR="000536E0" w:rsidRDefault="000536E0" w:rsidP="000536E0">
      <w:pPr>
        <w:bidi/>
        <w:spacing w:after="0" w:line="300" w:lineRule="auto"/>
        <w:jc w:val="both"/>
        <w:rPr>
          <w:rFonts w:cs="B Lotus" w:hint="cs"/>
          <w:spacing w:val="-14"/>
          <w:sz w:val="28"/>
          <w:szCs w:val="28"/>
          <w:rtl/>
        </w:rPr>
      </w:pPr>
      <w:r>
        <w:rPr>
          <w:rFonts w:cs="B Lotus" w:hint="cs"/>
          <w:spacing w:val="-14"/>
          <w:sz w:val="28"/>
          <w:szCs w:val="28"/>
          <w:rtl/>
        </w:rPr>
        <w:t xml:space="preserve"> این پژوهش با بررسی اینکه چگونه سهامداران مدیریتی  بر رابطه بین ضعف کنترل داخلی و حق الزحمه حسابرسی تاثیر می گذارد ادبیات پژوهشی در این زمینه را گسترش می دهد. شواهد ارائه شده در ادبیات نشان می دهد که بخاطر ضعف کنترل داخل ، اقلام تعهدی حسابداری برآورد شده بوسیله مدیران عموماً بی اعتبار و متعصبانه هستند بخاطر اینکه ضعف سیستم کنترل داخلی که نه تنها مانع از برآورد اقلام تعهدی غیر قابل اعتماد توسط مدیران نمی شود بلکه به آنها فرصتی برای برآورد جانبدارانه تر  اقلام تعهدی می دهد. وجود ضعف کنترل داخلی خطر تحریفات مالی را افزایش میدهد و باعث افزایش خطر برآوردهای حسابرسی و واحد تجاری می شود. در چنین وضعیتی ، حسابرسان احتمالاً برنامه های حسابرسی را افزایش می دهند تا ریسک حسابرسی را به حداقل برسانند و همچنین ممکن است برای جبران ریسک اظهارنظر نادرست و ایجاد دعاوی حقوقی علیه حسابرس بخاطر این ریسک بالا مبلغی را به عنوان جبران آن بر حق الزحمه حسابرسی اضافه کند. این باعث افزایش حق الزحمه حسابرسی می شود.  شواهد تجربی قابل ملاحظه ای در مورد تاثیر مالکیت مدیریتی بر حق الزحمه حسابرسی وجود </w:t>
      </w:r>
      <w:r>
        <w:rPr>
          <w:rFonts w:cs="B Lotus" w:hint="cs"/>
          <w:spacing w:val="-14"/>
          <w:sz w:val="28"/>
          <w:szCs w:val="28"/>
          <w:rtl/>
        </w:rPr>
        <w:lastRenderedPageBreak/>
        <w:t>ندارد، به ویژه هنگامی که شرکت ها در معرض خطر بالای گزارش های مالی اشتباه ناشی از نقاط ضعف کنترل داخلی قرار دارند. انگیزه تحقیق این است که بررسی کند که آیا در شرکت هایی که با ریسک گزارشگری بالا ناشی از نقاط ضعف کنترل داخلی مواجه است، نقطه مشترکی بین انگیزه مالکیت مدیریتی وجود دارد. یک اثر احتمالی کاهش ریسک گزارشگری و ریسک حسابرسی انجام شده به علت کاهش مشکل نمایندگی با افزایش میزان منافع مالکیت مدیران است، در حالی که دیگر اثر احتمالی تقاضای مدیریت برای حسابرسی های با کیفیت بالاتر برای کاهش خطر گزارشگری ناشی از کنترل داخلی ضعیف بر روی گزارشگری مالی می باشد. بنابراین این انگیزه به وجود آمده تا اثر مالکیت مدیریتی را به عنوان یک متغیر تعدیل گر بر رابطه بین تاثیر ضعف کنترل داخلی بر حق الزحمه ی حسابرسی بررسی شود.</w:t>
      </w:r>
    </w:p>
    <w:p w:rsidR="000536E0" w:rsidRDefault="000536E0" w:rsidP="000536E0">
      <w:pPr>
        <w:bidi/>
        <w:spacing w:after="0" w:line="300" w:lineRule="auto"/>
        <w:jc w:val="both"/>
        <w:rPr>
          <w:rFonts w:cs="B Lotus" w:hint="cs"/>
          <w:spacing w:val="-14"/>
          <w:sz w:val="28"/>
          <w:szCs w:val="28"/>
          <w:rtl/>
        </w:rPr>
      </w:pPr>
    </w:p>
    <w:p w:rsidR="000536E0" w:rsidRDefault="000536E0" w:rsidP="000536E0">
      <w:pPr>
        <w:bidi/>
        <w:spacing w:after="0"/>
        <w:jc w:val="both"/>
        <w:rPr>
          <w:rFonts w:cs="B Lotus"/>
          <w:bCs/>
          <w:spacing w:val="-14"/>
          <w:sz w:val="32"/>
          <w:szCs w:val="32"/>
        </w:rPr>
      </w:pPr>
      <w:r>
        <w:rPr>
          <w:rFonts w:cs="B Lotus" w:hint="cs"/>
          <w:bCs/>
          <w:spacing w:val="-14"/>
          <w:sz w:val="32"/>
          <w:szCs w:val="32"/>
          <w:rtl/>
        </w:rPr>
        <w:t xml:space="preserve">1-2) مبانی نظری </w:t>
      </w:r>
    </w:p>
    <w:p w:rsidR="000536E0" w:rsidRDefault="000536E0" w:rsidP="000536E0">
      <w:pPr>
        <w:bidi/>
        <w:jc w:val="both"/>
        <w:rPr>
          <w:rFonts w:cs="B Lotus" w:hint="cs"/>
          <w:b/>
          <w:spacing w:val="-14"/>
          <w:sz w:val="28"/>
          <w:szCs w:val="28"/>
          <w:rtl/>
        </w:rPr>
      </w:pPr>
      <w:r>
        <w:rPr>
          <w:rFonts w:cs="B Lotus" w:hint="cs"/>
          <w:b/>
          <w:spacing w:val="-14"/>
          <w:sz w:val="28"/>
          <w:szCs w:val="28"/>
          <w:rtl/>
        </w:rPr>
        <w:t>حق الزحمه حسابرسی از موضوعات مهمی است که ذهن صاحبکار و حسابرس را به خود مشغول می کند و باید درباره آن به روشنی مذاکره کرد. عوامل مختلفی می تواند بر حق الزحمه حسابرسی موثر باشد. از جمله این عوامل می توان کیفیت حسابرسی  اشاره کرد. مطالعه عوامل موثر بر حق الزحمه حسابرسی از نظر تأثیر آن بر کیفیت حسابرسی، حایز اهمیت است. حق الزحمه حسابرسی در برنامه ریزی و اجرای مناسب و با کیفیت کار حسابرسی مالی موثر است. کیفیت پایین حسابرسی موجب کاهش اعتماد استفاده کنندگان صورت های مالی می شود و این امر نه تنها منجر به ناکامی از دستیابی به اهداف حسابرسی می شود، بلکه موجب کاهش اعتبار فرایند حسابرسی در ابعاد کلان خواهد شد و مانع از تخصص بهینه سرمایه در بازار اوراق بهادار و افزایش هزینه سرمایه و تآمین مالی می شود. همچنین منافع مالکیت مدیران با روش های گزارشگری مالی شرکت ها ارتباط نزدیکی دارد. احتمال گزارشگری نادرست مالی با وجود مشکلات سازمان و عدم تقارن اطلاعات بیشتر بین مدیران و سهامداران، زمانی که تفکیک مالکیت و مدیریت بیشتر باشد، به طور قابل ملاحظه ای افزایش می یابد. وجود نقاط ضعف با اهمیت در سیستم کنترل داخلی، عدم اطمینان و خطر گزارشگری نادرست مالی را افزایش می یابد و حسابرسی با کیفیت را برای کاهش ریسک گزارشگری ضروری می سازد. این مورد به خصوص در شرکت های دارای سهام مدیریتی کم به دلیل وجود تضاد منافع بین مدیران و سهامداران صدق می کند. تأثیر نامطلوب این انگیزه ناسازگار بر اطلاعات گزارش شده هنگامی که شرکت ها کنترل داخلی ضعیفی دارند، بر گزارش های مالی بیشتر است. اما وقتی که منافع مدیر- سهامدار به علت وجود سهام مدیریتی بیشتر، هم راستا است، مشکل سازمان در گزارشگری مالی کاهش می یابد ( میترا و همکاران،</w:t>
      </w:r>
      <w:r>
        <w:rPr>
          <w:rStyle w:val="FootnoteReference"/>
          <w:rFonts w:cs="B Lotus"/>
          <w:b/>
          <w:spacing w:val="-14"/>
          <w:sz w:val="28"/>
          <w:szCs w:val="28"/>
          <w:rtl/>
        </w:rPr>
        <w:footnoteReference w:id="6"/>
      </w:r>
      <w:r>
        <w:rPr>
          <w:rFonts w:cs="B Lotus" w:hint="cs"/>
          <w:b/>
          <w:spacing w:val="-14"/>
          <w:sz w:val="28"/>
          <w:szCs w:val="28"/>
          <w:rtl/>
        </w:rPr>
        <w:t xml:space="preserve"> 2017).  </w:t>
      </w:r>
    </w:p>
    <w:p w:rsidR="000536E0" w:rsidRDefault="000536E0" w:rsidP="000536E0">
      <w:pPr>
        <w:bidi/>
        <w:jc w:val="both"/>
        <w:rPr>
          <w:rFonts w:cs="B Lotus" w:hint="cs"/>
          <w:b/>
          <w:spacing w:val="-14"/>
          <w:sz w:val="28"/>
          <w:szCs w:val="28"/>
          <w:rtl/>
        </w:rPr>
      </w:pPr>
      <w:r>
        <w:rPr>
          <w:rFonts w:cs="B Lotus" w:hint="cs"/>
          <w:spacing w:val="-14"/>
          <w:sz w:val="28"/>
          <w:szCs w:val="28"/>
          <w:rtl/>
        </w:rPr>
        <w:lastRenderedPageBreak/>
        <w:t>در</w:t>
      </w:r>
      <w:r>
        <w:rPr>
          <w:rFonts w:cs="B Lotus" w:hint="cs"/>
          <w:spacing w:val="-14"/>
          <w:sz w:val="28"/>
          <w:szCs w:val="28"/>
        </w:rPr>
        <w:t xml:space="preserve"> </w:t>
      </w:r>
      <w:r>
        <w:rPr>
          <w:rFonts w:cs="B Lotus" w:hint="cs"/>
          <w:spacing w:val="-14"/>
          <w:sz w:val="28"/>
          <w:szCs w:val="28"/>
          <w:rtl/>
        </w:rPr>
        <w:t>قانون ساربینز اکسلی</w:t>
      </w:r>
      <w:r>
        <w:rPr>
          <w:rFonts w:cs="B Lotus"/>
          <w:spacing w:val="-14"/>
          <w:sz w:val="28"/>
          <w:szCs w:val="28"/>
          <w:vertAlign w:val="superscript"/>
        </w:rPr>
        <w:footnoteReference w:id="7"/>
      </w:r>
      <w:r>
        <w:rPr>
          <w:rFonts w:cs="B Lotus"/>
          <w:spacing w:val="-14"/>
          <w:sz w:val="28"/>
          <w:szCs w:val="28"/>
        </w:rPr>
        <w:t xml:space="preserve"> </w:t>
      </w:r>
      <w:r>
        <w:rPr>
          <w:rFonts w:cs="B Lotus" w:hint="cs"/>
          <w:spacing w:val="-14"/>
          <w:sz w:val="28"/>
          <w:szCs w:val="28"/>
          <w:rtl/>
        </w:rPr>
        <w:t>تاکید خاصی بر نقش کنترل داخلی بر گزارشگری مالی شده است ( از طریق بخش های 302 و 404) در الزامات قانون ساربینز آکسلی جدید، مدیریت ملزم شده تا یک اندازه گیری درباره اثربخشی کنترل داخلی ارائه دهد و حسابرسان داخلی ملزم شده اند تا کنترل داخلی را رسیدگی کنند و اظهارنظری درباره ارزیابی مدیریت از کنترل داخلی ارائه دهند. گرچه کنترل داخلی موثر ممکن نیست به طور کامل تمام خطاهای بالقوه عمدی و غیرعمدی حسابداری و اصلاحات را از بین ببرد. آن می تواند بطور بالقوه توانایی مدیران را برای مدیریت فرصت طلبانه سود یا اقلام تعهدی را محدود ( جیامبالوو</w:t>
      </w:r>
      <w:r>
        <w:rPr>
          <w:rFonts w:cs="B Lotus"/>
          <w:spacing w:val="-14"/>
          <w:sz w:val="28"/>
          <w:szCs w:val="28"/>
          <w:vertAlign w:val="superscript"/>
        </w:rPr>
        <w:footnoteReference w:id="8"/>
      </w:r>
      <w:r>
        <w:rPr>
          <w:rFonts w:cs="B Lotus" w:hint="cs"/>
          <w:spacing w:val="-14"/>
          <w:sz w:val="28"/>
          <w:szCs w:val="28"/>
          <w:rtl/>
        </w:rPr>
        <w:t xml:space="preserve"> 1996) و احتمال گزارشگری مالی نادرست را به حداقل برساند. مطالعات پیشین ( به عنوان مثال هوگال و ویکینز ،</w:t>
      </w:r>
      <w:r>
        <w:rPr>
          <w:rFonts w:cs="B Lotus"/>
          <w:spacing w:val="-14"/>
          <w:sz w:val="28"/>
          <w:szCs w:val="28"/>
          <w:vertAlign w:val="superscript"/>
        </w:rPr>
        <w:footnoteReference w:id="9"/>
      </w:r>
      <w:r>
        <w:rPr>
          <w:rFonts w:cs="B Lotus" w:hint="cs"/>
          <w:spacing w:val="-14"/>
          <w:sz w:val="28"/>
          <w:szCs w:val="28"/>
          <w:rtl/>
        </w:rPr>
        <w:t xml:space="preserve"> 2008 ، هویتاش و همکاران</w:t>
      </w:r>
      <w:r>
        <w:rPr>
          <w:rFonts w:cs="B Lotus"/>
          <w:spacing w:val="-14"/>
          <w:sz w:val="28"/>
          <w:szCs w:val="28"/>
          <w:vertAlign w:val="superscript"/>
        </w:rPr>
        <w:footnoteReference w:id="10"/>
      </w:r>
      <w:r>
        <w:rPr>
          <w:rFonts w:cs="B Lotus" w:hint="cs"/>
          <w:spacing w:val="-14"/>
          <w:sz w:val="28"/>
          <w:szCs w:val="28"/>
          <w:rtl/>
        </w:rPr>
        <w:t xml:space="preserve"> 2008) دریافتند که حق الزحمه های حسابرسی برای شرکت هایی با کنترل داخلی ضعف بالاتر هستند و حق الزحمه های حسابرسی با شدت ضعف های کنترل افزایش می یابد. کنترل داخلی غیرموثر منجر به افزایش ریسک گزارشگری مالی نادرست می شود که باعث ظهور خطاهای غیرعمدی و تعدیلات حسابداری عمدی می شود( به عنوان مثال، آشباق اسکیفی و همکاران 2008، دویل و همکاران 2007). این وضعیت بطور بالقوه خطر شکست حسابرسی را افزایش می دهد و موجب می شود تا حسابرسان تلاش های خود را برای به حداقل رساندن ریسک حسابرسی افزایش دهند. علاوه بر این، هامرسلی و همکاران</w:t>
      </w:r>
      <w:r>
        <w:rPr>
          <w:rFonts w:cs="B Lotus"/>
          <w:spacing w:val="-14"/>
          <w:sz w:val="28"/>
          <w:szCs w:val="28"/>
          <w:vertAlign w:val="superscript"/>
        </w:rPr>
        <w:footnoteReference w:id="11"/>
      </w:r>
      <w:r>
        <w:rPr>
          <w:rFonts w:cs="B Lotus" w:hint="cs"/>
          <w:spacing w:val="-14"/>
          <w:sz w:val="28"/>
          <w:szCs w:val="28"/>
          <w:rtl/>
        </w:rPr>
        <w:t xml:space="preserve"> (2012) ادعا کردند که شرکت هایی که نتوانستند ضعف های کنترل گذشته را بهبود ببخشند افزایش های زیادی در حق الزحمه های حسابرسی تجربه کردند در حالیکه مونسیف و همکاران</w:t>
      </w:r>
      <w:r>
        <w:rPr>
          <w:rFonts w:cs="B Lotus"/>
          <w:spacing w:val="-14"/>
          <w:sz w:val="28"/>
          <w:szCs w:val="28"/>
          <w:vertAlign w:val="superscript"/>
        </w:rPr>
        <w:footnoteReference w:id="12"/>
      </w:r>
      <w:r>
        <w:rPr>
          <w:rFonts w:cs="B Lotus" w:hint="cs"/>
          <w:spacing w:val="-14"/>
          <w:sz w:val="28"/>
          <w:szCs w:val="28"/>
          <w:rtl/>
        </w:rPr>
        <w:t xml:space="preserve"> (2011) نشان دادند که شرکت هایی که الزامات 404</w:t>
      </w:r>
      <w:r>
        <w:rPr>
          <w:rFonts w:cs="B Lotus" w:hint="cs"/>
          <w:spacing w:val="-14"/>
          <w:sz w:val="28"/>
          <w:szCs w:val="28"/>
        </w:rPr>
        <w:t xml:space="preserve"> </w:t>
      </w:r>
      <w:r>
        <w:rPr>
          <w:rFonts w:cs="B Lotus" w:hint="cs"/>
          <w:spacing w:val="-14"/>
          <w:sz w:val="28"/>
          <w:szCs w:val="28"/>
          <w:rtl/>
        </w:rPr>
        <w:t xml:space="preserve">قانون ساربینز اکسلی را رعایت کردند مشکلات آنها در سال بعد کمتر شد و اظهارنظر حسابرسی اصلاح شد. </w:t>
      </w:r>
    </w:p>
    <w:p w:rsidR="000536E0" w:rsidRDefault="000536E0" w:rsidP="000536E0">
      <w:pPr>
        <w:bidi/>
        <w:spacing w:line="300" w:lineRule="auto"/>
        <w:jc w:val="both"/>
        <w:rPr>
          <w:rFonts w:cs="B Lotus"/>
          <w:spacing w:val="-14"/>
          <w:sz w:val="28"/>
          <w:szCs w:val="28"/>
        </w:rPr>
      </w:pPr>
      <w:r>
        <w:rPr>
          <w:rFonts w:cs="B Lotus" w:hint="cs"/>
          <w:spacing w:val="-14"/>
          <w:sz w:val="28"/>
          <w:szCs w:val="28"/>
          <w:rtl/>
        </w:rPr>
        <w:t>همبستگی بین ضعف کنترل داخلی و نظارت بر رفتار مدیریتی توسط جنسن</w:t>
      </w:r>
      <w:r>
        <w:rPr>
          <w:rFonts w:cs="B Lotus"/>
          <w:spacing w:val="-14"/>
          <w:sz w:val="28"/>
          <w:szCs w:val="28"/>
          <w:vertAlign w:val="superscript"/>
        </w:rPr>
        <w:footnoteReference w:id="13"/>
      </w:r>
      <w:r>
        <w:rPr>
          <w:rFonts w:cs="B Lotus" w:hint="cs"/>
          <w:spacing w:val="-14"/>
          <w:sz w:val="28"/>
          <w:szCs w:val="28"/>
          <w:rtl/>
        </w:rPr>
        <w:t xml:space="preserve"> (1993) بحث شد و آن اظهار داشت که اگر کنترل های داخلی قوی نظارت موثر رفتار مدیریتی را فراهم کند آنها احتمالا مشکلات سازمان را کاهش می دهند و به این ترتیب هیچ انگیزه مدیریتی ایجاد نمی شود تا یک استراتژی حسابداری را که شامل سیاست محافظه کاری حسابداری می شود را اتخاذ کند. در راستای این استدلال لافوند و روی چادوری (2008) دریافتند که با افزایش در مالکیت سهام مدیریتی، تقاضا برای سیاست محافظه کاری حسابداری کاهش می یابد. با این استدلال، میترا و همکاران</w:t>
      </w:r>
      <w:r>
        <w:rPr>
          <w:rFonts w:cs="B Lotus"/>
          <w:spacing w:val="-14"/>
          <w:sz w:val="28"/>
          <w:szCs w:val="28"/>
          <w:vertAlign w:val="superscript"/>
        </w:rPr>
        <w:footnoteReference w:id="14"/>
      </w:r>
      <w:r>
        <w:rPr>
          <w:rFonts w:cs="B Lotus" w:hint="cs"/>
          <w:spacing w:val="-14"/>
          <w:sz w:val="28"/>
          <w:szCs w:val="28"/>
          <w:rtl/>
        </w:rPr>
        <w:t xml:space="preserve"> (2007) و گوتی و همکاران</w:t>
      </w:r>
      <w:r>
        <w:rPr>
          <w:rFonts w:cs="B Lotus"/>
          <w:spacing w:val="-14"/>
          <w:sz w:val="28"/>
          <w:szCs w:val="28"/>
          <w:vertAlign w:val="superscript"/>
        </w:rPr>
        <w:footnoteReference w:id="15"/>
      </w:r>
      <w:r>
        <w:rPr>
          <w:rFonts w:cs="B Lotus" w:hint="cs"/>
          <w:spacing w:val="-14"/>
          <w:sz w:val="28"/>
          <w:szCs w:val="28"/>
          <w:rtl/>
        </w:rPr>
        <w:t xml:space="preserve"> ( </w:t>
      </w:r>
      <w:r>
        <w:rPr>
          <w:rFonts w:cs="B Lotus" w:hint="cs"/>
          <w:spacing w:val="-14"/>
          <w:sz w:val="28"/>
          <w:szCs w:val="28"/>
          <w:rtl/>
        </w:rPr>
        <w:lastRenderedPageBreak/>
        <w:t>2012) دریافتند که مالکیت سهام مدیریتی به طور منفی با حق الزحمه حسابرسی رابطه دارد. گوتی و همکاران ( 2012 ) همچنین نشان دادند که این رابطه منفی اساسا محدود به شرکت هایی با مالکیت سهام مدیریتی پایین است، آنها پیشنهاد دادند که تاثیر نظر مشترک مالکیت سهام بر روی حق الزحمه حسابرسی در زمانیکه سطح مالکیت مدیریتی پایین است بیشتر بیان می شود. بنابراین گوتی و همکاران (2012) هیچ نتیجه شاخصی برای شرکت هایی با مالکیت مدیریتی پایین پیدا نکردند.</w:t>
      </w:r>
    </w:p>
    <w:p w:rsidR="000536E0" w:rsidRDefault="000536E0" w:rsidP="000536E0">
      <w:pPr>
        <w:bidi/>
        <w:jc w:val="both"/>
        <w:rPr>
          <w:rFonts w:cs="B Lotus"/>
          <w:spacing w:val="-14"/>
          <w:sz w:val="28"/>
          <w:szCs w:val="28"/>
        </w:rPr>
      </w:pPr>
      <w:r>
        <w:rPr>
          <w:rFonts w:cs="B Lotus" w:hint="cs"/>
          <w:spacing w:val="-14"/>
          <w:sz w:val="28"/>
          <w:szCs w:val="28"/>
          <w:rtl/>
        </w:rPr>
        <w:t xml:space="preserve"> تاثیر مالکیت سهام مدیریتی ممکن است متفاوت باشد وقتی شرکت ها دچار نقصان نظارت داخلی بر فرایند گزارشگری مالی هستند که موجب خطاهای عمدی و غیرعمدی حسابداری، تخمین ها و تعدیلات می شوند. در این شرکت ها، مالکیت مدیریتی  پایین با انگیزه های وسیع و منطبق مدیر و سهامدار در ادامه موجب ایجاد مشکلات بالای سازمان در فرایند گزارش می شود. در نتیجه، عدم اطمینان و ریسک در سطح بالایی در تصمیمات حق الزحمه حسابرس برآورده می شوند. بنابراین افزایش سهامداران مدیریتی با وجود سهامداران پایین در شرکت های ضعف کنترل داخلی ممکن نیست برای کاهش ریسک و مسئولیت پس از اتمام دعاوی حقوقی که باعث سلب مسئولیت توسط حسابرسان معتبر می شود کافی باشد که منجر به یک تاثیر نامناسب از مالکیت سهام مدیریتی بر ضعف کنترل داخلی و رابطه حق الزحمه حسابرسی می شود. در شرکت های ضعف کنترل داخلی با مالکیت سهام مدیریتی بالا، نقطه نظرات مشترک بین مدیران و سهامداران به نظر می رسد مشکلات سازمان را به عنوان بخش بزرگتر سرمایه مدیریتی که وابسته به چشم انداز درازمدت شرکت است کاهش دهد. مدیران در این شرکت ها ممکن است مخالف ریسک بیشتر نسبت به تنوع کمتر اوراق بهادار خود مرتبط با مالکیت سهام بالا  در یک نهاد واحد باشند و حسایست به عملکرد ثروت بالا داشته باشند. بنابراین آنها ممکن است بیشتر تمایل داشته باشند تا ریسک و عدم اطمینان مرتبط با فرایند گزارش مالی را کاهش دهند. مدیران این شرکت ها احتمال دارد تا برای بدست آوردن تضمین بیشتر درباره کیفیت و قابلیت اطمینان گزارش های مالی تقاضای حسابرسی با کیفیت بالاتر داشته باشند که منجر به افزایش در حق الزحمه های حسابرسی می شود. خرید حسابرسی هایی با کیفیت بالاتر همچنین می تواند علامت مثبتی را برای جامعه سرمایه گذاران درباره کیفیت بالاتر نظارت بیرونی ارسال کند تا ریسک گزارش را کاهش دهد و دید منفی درباره کیفیت اطلاعات شرکت های ضعف کنترل داخلی را تغییر دهد.</w:t>
      </w:r>
    </w:p>
    <w:p w:rsidR="00085144" w:rsidRDefault="00085144">
      <w:bookmarkStart w:id="0" w:name="_GoBack"/>
      <w:bookmarkEnd w:id="0"/>
    </w:p>
    <w:sectPr w:rsidR="00085144"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36A" w:rsidRDefault="00A3336A" w:rsidP="000536E0">
      <w:pPr>
        <w:spacing w:after="0" w:line="240" w:lineRule="auto"/>
      </w:pPr>
      <w:r>
        <w:separator/>
      </w:r>
    </w:p>
  </w:endnote>
  <w:endnote w:type="continuationSeparator" w:id="0">
    <w:p w:rsidR="00A3336A" w:rsidRDefault="00A3336A" w:rsidP="00053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B Titr,Bold">
    <w:altName w:val="B Titr"/>
    <w:charset w:val="00"/>
    <w:family w:val="auto"/>
    <w:pitch w:val="default"/>
  </w:font>
  <w:font w:name="B Titr">
    <w:panose1 w:val="00000700000000000000"/>
    <w:charset w:val="B2"/>
    <w:family w:val="auto"/>
    <w:pitch w:val="variable"/>
    <w:sig w:usb0="00002001" w:usb1="80000000" w:usb2="00000008" w:usb3="00000000" w:csb0="00000040" w:csb1="00000000"/>
  </w:font>
  <w:font w:name="Adobe Arabic">
    <w:altName w:val="Calibri"/>
    <w:panose1 w:val="02040503050201020203"/>
    <w:charset w:val="00"/>
    <w:family w:val="roman"/>
    <w:notTrueType/>
    <w:pitch w:val="variable"/>
    <w:sig w:usb0="8000202F" w:usb1="8000A04A"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36A" w:rsidRDefault="00A3336A" w:rsidP="000536E0">
      <w:pPr>
        <w:spacing w:after="0" w:line="240" w:lineRule="auto"/>
      </w:pPr>
      <w:r>
        <w:separator/>
      </w:r>
    </w:p>
  </w:footnote>
  <w:footnote w:type="continuationSeparator" w:id="0">
    <w:p w:rsidR="00A3336A" w:rsidRDefault="00A3336A" w:rsidP="000536E0">
      <w:pPr>
        <w:spacing w:after="0" w:line="240" w:lineRule="auto"/>
      </w:pPr>
      <w:r>
        <w:continuationSeparator/>
      </w:r>
    </w:p>
  </w:footnote>
  <w:footnote w:id="1">
    <w:p w:rsidR="000536E0" w:rsidRDefault="000536E0" w:rsidP="000536E0">
      <w:pPr>
        <w:spacing w:after="0" w:line="240" w:lineRule="auto"/>
        <w:rPr>
          <w:color w:val="000000"/>
          <w:sz w:val="20"/>
          <w:szCs w:val="20"/>
        </w:rPr>
      </w:pPr>
      <w:r>
        <w:rPr>
          <w:vertAlign w:val="superscript"/>
        </w:rPr>
        <w:footnoteRef/>
      </w:r>
      <w:r>
        <w:rPr>
          <w:color w:val="000000"/>
          <w:sz w:val="20"/>
          <w:szCs w:val="20"/>
        </w:rPr>
        <w:t xml:space="preserve"> . </w:t>
      </w:r>
      <w:proofErr w:type="spellStart"/>
      <w:r>
        <w:rPr>
          <w:color w:val="000000"/>
          <w:sz w:val="20"/>
          <w:szCs w:val="20"/>
        </w:rPr>
        <w:t>Ashbaugh-Skaife</w:t>
      </w:r>
      <w:proofErr w:type="spellEnd"/>
    </w:p>
  </w:footnote>
  <w:footnote w:id="2">
    <w:p w:rsidR="000536E0" w:rsidRDefault="000536E0" w:rsidP="000536E0">
      <w:pPr>
        <w:spacing w:after="0" w:line="240" w:lineRule="auto"/>
        <w:rPr>
          <w:color w:val="000000"/>
          <w:sz w:val="20"/>
          <w:szCs w:val="20"/>
        </w:rPr>
      </w:pPr>
      <w:r>
        <w:rPr>
          <w:vertAlign w:val="superscript"/>
        </w:rPr>
        <w:footnoteRef/>
      </w:r>
      <w:r>
        <w:rPr>
          <w:color w:val="000000"/>
          <w:sz w:val="20"/>
          <w:szCs w:val="20"/>
        </w:rPr>
        <w:t xml:space="preserve"> . Doyle</w:t>
      </w:r>
    </w:p>
  </w:footnote>
  <w:footnote w:id="3">
    <w:p w:rsidR="000536E0" w:rsidRDefault="000536E0" w:rsidP="000536E0">
      <w:pPr>
        <w:spacing w:after="0" w:line="240" w:lineRule="auto"/>
        <w:rPr>
          <w:color w:val="000000"/>
          <w:sz w:val="20"/>
          <w:szCs w:val="20"/>
        </w:rPr>
      </w:pPr>
      <w:r>
        <w:rPr>
          <w:vertAlign w:val="superscript"/>
        </w:rPr>
        <w:footnoteRef/>
      </w:r>
      <w:proofErr w:type="gramStart"/>
      <w:r>
        <w:rPr>
          <w:color w:val="000000"/>
          <w:sz w:val="20"/>
          <w:szCs w:val="20"/>
          <w:vertAlign w:val="superscript"/>
        </w:rPr>
        <w:t>1</w:t>
      </w:r>
      <w:r>
        <w:rPr>
          <w:color w:val="000000"/>
          <w:sz w:val="20"/>
          <w:szCs w:val="20"/>
        </w:rPr>
        <w:t xml:space="preserve"> .</w:t>
      </w:r>
      <w:proofErr w:type="gramEnd"/>
      <w:r>
        <w:rPr>
          <w:color w:val="000000"/>
          <w:sz w:val="20"/>
          <w:szCs w:val="20"/>
        </w:rPr>
        <w:t xml:space="preserve"> </w:t>
      </w:r>
      <w:proofErr w:type="spellStart"/>
      <w:r>
        <w:rPr>
          <w:color w:val="000000"/>
          <w:sz w:val="20"/>
          <w:szCs w:val="20"/>
        </w:rPr>
        <w:t>Raghunandan</w:t>
      </w:r>
      <w:proofErr w:type="spellEnd"/>
      <w:r>
        <w:rPr>
          <w:color w:val="000000"/>
          <w:sz w:val="20"/>
          <w:szCs w:val="20"/>
        </w:rPr>
        <w:t xml:space="preserve"> and Rama</w:t>
      </w:r>
    </w:p>
  </w:footnote>
  <w:footnote w:id="4">
    <w:p w:rsidR="000536E0" w:rsidRDefault="000536E0" w:rsidP="000536E0">
      <w:pPr>
        <w:spacing w:after="0" w:line="240" w:lineRule="auto"/>
        <w:rPr>
          <w:color w:val="000000"/>
          <w:sz w:val="20"/>
          <w:szCs w:val="20"/>
        </w:rPr>
      </w:pPr>
      <w:r>
        <w:rPr>
          <w:vertAlign w:val="superscript"/>
        </w:rPr>
        <w:footnoteRef/>
      </w:r>
      <w:proofErr w:type="gramStart"/>
      <w:r>
        <w:rPr>
          <w:color w:val="000000"/>
          <w:sz w:val="20"/>
          <w:szCs w:val="20"/>
          <w:vertAlign w:val="superscript"/>
        </w:rPr>
        <w:t>2</w:t>
      </w:r>
      <w:r>
        <w:rPr>
          <w:color w:val="000000"/>
          <w:sz w:val="20"/>
          <w:szCs w:val="20"/>
        </w:rPr>
        <w:t xml:space="preserve"> .Hogan</w:t>
      </w:r>
      <w:proofErr w:type="gramEnd"/>
      <w:r>
        <w:rPr>
          <w:color w:val="000000"/>
          <w:sz w:val="20"/>
          <w:szCs w:val="20"/>
        </w:rPr>
        <w:t xml:space="preserve"> and Wilkins</w:t>
      </w:r>
    </w:p>
  </w:footnote>
  <w:footnote w:id="5">
    <w:p w:rsidR="000536E0" w:rsidRDefault="000536E0" w:rsidP="000536E0">
      <w:pPr>
        <w:spacing w:after="0" w:line="240" w:lineRule="auto"/>
        <w:rPr>
          <w:color w:val="000000"/>
          <w:sz w:val="20"/>
          <w:szCs w:val="20"/>
        </w:rPr>
      </w:pPr>
      <w:r>
        <w:rPr>
          <w:vertAlign w:val="superscript"/>
        </w:rPr>
        <w:footnoteRef/>
      </w:r>
      <w:r>
        <w:rPr>
          <w:color w:val="000000"/>
          <w:sz w:val="20"/>
          <w:szCs w:val="20"/>
        </w:rPr>
        <w:t>. Krishnan</w:t>
      </w:r>
    </w:p>
  </w:footnote>
  <w:footnote w:id="6">
    <w:p w:rsidR="000536E0" w:rsidRDefault="000536E0" w:rsidP="000536E0">
      <w:pPr>
        <w:pStyle w:val="FootnoteText"/>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 </w:t>
      </w:r>
      <w:proofErr w:type="spellStart"/>
      <w:r>
        <w:rPr>
          <w:rFonts w:asciiTheme="majorBidi" w:hAnsiTheme="majorBidi" w:cstheme="majorBidi"/>
        </w:rPr>
        <w:t>Mitra</w:t>
      </w:r>
      <w:proofErr w:type="spellEnd"/>
      <w:r>
        <w:rPr>
          <w:rFonts w:asciiTheme="majorBidi" w:hAnsiTheme="majorBidi" w:cstheme="majorBidi"/>
        </w:rPr>
        <w:t xml:space="preserve"> et al </w:t>
      </w:r>
    </w:p>
  </w:footnote>
  <w:footnote w:id="7">
    <w:p w:rsidR="000536E0" w:rsidRDefault="000536E0" w:rsidP="000536E0">
      <w:pPr>
        <w:spacing w:after="0" w:line="240" w:lineRule="auto"/>
        <w:rPr>
          <w:rFonts w:asciiTheme="majorBidi" w:hAnsiTheme="majorBidi" w:cstheme="majorBidi"/>
          <w:color w:val="000000"/>
          <w:sz w:val="20"/>
          <w:szCs w:val="20"/>
        </w:rPr>
      </w:pPr>
      <w:r>
        <w:rPr>
          <w:rFonts w:asciiTheme="majorBidi" w:hAnsiTheme="majorBidi" w:cstheme="majorBidi"/>
          <w:vertAlign w:val="superscript"/>
        </w:rPr>
        <w:footnoteRef/>
      </w:r>
      <w:r>
        <w:rPr>
          <w:rFonts w:asciiTheme="majorBidi" w:hAnsiTheme="majorBidi" w:cstheme="majorBidi"/>
          <w:color w:val="000000"/>
          <w:sz w:val="20"/>
          <w:szCs w:val="20"/>
        </w:rPr>
        <w:t xml:space="preserve"> . Sarbanes Oxley</w:t>
      </w:r>
    </w:p>
  </w:footnote>
  <w:footnote w:id="8">
    <w:p w:rsidR="000536E0" w:rsidRDefault="000536E0" w:rsidP="000536E0">
      <w:pPr>
        <w:spacing w:after="0" w:line="240" w:lineRule="auto"/>
        <w:rPr>
          <w:rFonts w:asciiTheme="majorBidi" w:hAnsiTheme="majorBidi" w:cstheme="majorBidi"/>
          <w:color w:val="000000"/>
          <w:sz w:val="20"/>
          <w:szCs w:val="20"/>
        </w:rPr>
      </w:pPr>
      <w:r>
        <w:rPr>
          <w:rFonts w:asciiTheme="majorBidi" w:hAnsiTheme="majorBidi" w:cstheme="majorBidi"/>
          <w:vertAlign w:val="superscript"/>
        </w:rPr>
        <w:footnoteRef/>
      </w:r>
      <w:r>
        <w:rPr>
          <w:rFonts w:asciiTheme="majorBidi" w:hAnsiTheme="majorBidi" w:cstheme="majorBidi"/>
          <w:color w:val="000000"/>
          <w:sz w:val="20"/>
          <w:szCs w:val="20"/>
        </w:rPr>
        <w:t xml:space="preserve"> . </w:t>
      </w:r>
      <w:proofErr w:type="spellStart"/>
      <w:r>
        <w:rPr>
          <w:rFonts w:asciiTheme="majorBidi" w:hAnsiTheme="majorBidi" w:cstheme="majorBidi"/>
          <w:color w:val="000000"/>
          <w:sz w:val="20"/>
          <w:szCs w:val="20"/>
        </w:rPr>
        <w:t>Jiambalvo</w:t>
      </w:r>
      <w:proofErr w:type="spellEnd"/>
    </w:p>
  </w:footnote>
  <w:footnote w:id="9">
    <w:p w:rsidR="000536E0" w:rsidRDefault="000536E0" w:rsidP="000536E0">
      <w:pPr>
        <w:spacing w:after="0" w:line="240" w:lineRule="auto"/>
        <w:rPr>
          <w:rFonts w:asciiTheme="majorBidi" w:hAnsiTheme="majorBidi" w:cstheme="majorBidi"/>
          <w:color w:val="000000"/>
          <w:sz w:val="20"/>
          <w:szCs w:val="20"/>
        </w:rPr>
      </w:pPr>
      <w:r>
        <w:rPr>
          <w:rFonts w:asciiTheme="majorBidi" w:hAnsiTheme="majorBidi" w:cstheme="majorBidi"/>
          <w:vertAlign w:val="superscript"/>
        </w:rPr>
        <w:footnoteRef/>
      </w:r>
      <w:r>
        <w:rPr>
          <w:rFonts w:asciiTheme="majorBidi" w:hAnsiTheme="majorBidi" w:cstheme="majorBidi"/>
          <w:color w:val="000000"/>
          <w:sz w:val="20"/>
          <w:szCs w:val="20"/>
        </w:rPr>
        <w:t xml:space="preserve"> . Hogan and Wilkins</w:t>
      </w:r>
    </w:p>
  </w:footnote>
  <w:footnote w:id="10">
    <w:p w:rsidR="000536E0" w:rsidRDefault="000536E0" w:rsidP="000536E0">
      <w:pPr>
        <w:spacing w:after="0" w:line="240" w:lineRule="auto"/>
        <w:rPr>
          <w:rFonts w:asciiTheme="majorBidi" w:hAnsiTheme="majorBidi" w:cstheme="majorBidi"/>
          <w:color w:val="000000"/>
          <w:sz w:val="20"/>
          <w:szCs w:val="20"/>
        </w:rPr>
      </w:pPr>
      <w:r>
        <w:rPr>
          <w:rFonts w:asciiTheme="majorBidi" w:hAnsiTheme="majorBidi" w:cstheme="majorBidi"/>
          <w:vertAlign w:val="superscript"/>
        </w:rPr>
        <w:footnoteRef/>
      </w:r>
      <w:r>
        <w:rPr>
          <w:rFonts w:asciiTheme="majorBidi" w:hAnsiTheme="majorBidi" w:cstheme="majorBidi"/>
          <w:color w:val="000000"/>
          <w:sz w:val="20"/>
          <w:szCs w:val="20"/>
        </w:rPr>
        <w:t xml:space="preserve"> . </w:t>
      </w:r>
      <w:proofErr w:type="spellStart"/>
      <w:r>
        <w:rPr>
          <w:rFonts w:asciiTheme="majorBidi" w:hAnsiTheme="majorBidi" w:cstheme="majorBidi"/>
          <w:color w:val="000000"/>
          <w:sz w:val="20"/>
          <w:szCs w:val="20"/>
        </w:rPr>
        <w:t>Hoitash</w:t>
      </w:r>
      <w:proofErr w:type="spellEnd"/>
    </w:p>
  </w:footnote>
  <w:footnote w:id="11">
    <w:p w:rsidR="000536E0" w:rsidRDefault="000536E0" w:rsidP="000536E0">
      <w:pPr>
        <w:spacing w:after="0" w:line="240" w:lineRule="auto"/>
        <w:rPr>
          <w:rFonts w:asciiTheme="majorBidi" w:hAnsiTheme="majorBidi" w:cstheme="majorBidi"/>
          <w:color w:val="000000"/>
          <w:sz w:val="20"/>
          <w:szCs w:val="20"/>
        </w:rPr>
      </w:pPr>
      <w:r>
        <w:rPr>
          <w:rFonts w:asciiTheme="majorBidi" w:hAnsiTheme="majorBidi" w:cstheme="majorBidi"/>
          <w:vertAlign w:val="superscript"/>
        </w:rPr>
        <w:footnoteRef/>
      </w:r>
      <w:r>
        <w:rPr>
          <w:rFonts w:asciiTheme="majorBidi" w:hAnsiTheme="majorBidi" w:cstheme="majorBidi"/>
          <w:color w:val="000000"/>
          <w:sz w:val="20"/>
          <w:szCs w:val="20"/>
        </w:rPr>
        <w:t xml:space="preserve"> . </w:t>
      </w:r>
      <w:proofErr w:type="spellStart"/>
      <w:r>
        <w:rPr>
          <w:rFonts w:asciiTheme="majorBidi" w:hAnsiTheme="majorBidi" w:cstheme="majorBidi"/>
          <w:color w:val="000000"/>
          <w:sz w:val="20"/>
          <w:szCs w:val="20"/>
        </w:rPr>
        <w:t>Hammersley</w:t>
      </w:r>
      <w:proofErr w:type="spellEnd"/>
    </w:p>
  </w:footnote>
  <w:footnote w:id="12">
    <w:p w:rsidR="000536E0" w:rsidRDefault="000536E0" w:rsidP="000536E0">
      <w:pPr>
        <w:spacing w:after="0" w:line="240" w:lineRule="auto"/>
        <w:rPr>
          <w:rFonts w:asciiTheme="majorBidi" w:hAnsiTheme="majorBidi" w:cstheme="majorBidi"/>
          <w:color w:val="000000"/>
          <w:sz w:val="20"/>
          <w:szCs w:val="20"/>
        </w:rPr>
      </w:pPr>
      <w:r>
        <w:rPr>
          <w:rFonts w:asciiTheme="majorBidi" w:hAnsiTheme="majorBidi" w:cstheme="majorBidi"/>
          <w:vertAlign w:val="superscript"/>
        </w:rPr>
        <w:footnoteRef/>
      </w:r>
      <w:r>
        <w:rPr>
          <w:rFonts w:asciiTheme="majorBidi" w:hAnsiTheme="majorBidi" w:cstheme="majorBidi"/>
          <w:color w:val="000000"/>
          <w:sz w:val="20"/>
          <w:szCs w:val="20"/>
        </w:rPr>
        <w:t xml:space="preserve"> . </w:t>
      </w:r>
      <w:proofErr w:type="spellStart"/>
      <w:r>
        <w:rPr>
          <w:rFonts w:asciiTheme="majorBidi" w:hAnsiTheme="majorBidi" w:cstheme="majorBidi"/>
          <w:color w:val="000000"/>
          <w:sz w:val="20"/>
          <w:szCs w:val="20"/>
        </w:rPr>
        <w:t>Munsif</w:t>
      </w:r>
      <w:proofErr w:type="spellEnd"/>
    </w:p>
  </w:footnote>
  <w:footnote w:id="13">
    <w:p w:rsidR="000536E0" w:rsidRDefault="000536E0" w:rsidP="000536E0">
      <w:pPr>
        <w:spacing w:after="0" w:line="240" w:lineRule="auto"/>
        <w:rPr>
          <w:color w:val="000000"/>
          <w:sz w:val="20"/>
          <w:szCs w:val="20"/>
        </w:rPr>
      </w:pPr>
      <w:r>
        <w:rPr>
          <w:rFonts w:asciiTheme="majorBidi" w:hAnsiTheme="majorBidi" w:cstheme="majorBidi"/>
          <w:vertAlign w:val="superscript"/>
        </w:rPr>
        <w:footnoteRef/>
      </w:r>
      <w:r>
        <w:rPr>
          <w:rFonts w:asciiTheme="majorBidi" w:hAnsiTheme="majorBidi" w:cstheme="majorBidi"/>
          <w:color w:val="000000"/>
          <w:sz w:val="20"/>
          <w:szCs w:val="20"/>
        </w:rPr>
        <w:t xml:space="preserve"> . Jensen</w:t>
      </w:r>
    </w:p>
  </w:footnote>
  <w:footnote w:id="14">
    <w:p w:rsidR="000536E0" w:rsidRDefault="000536E0" w:rsidP="000536E0">
      <w:pPr>
        <w:spacing w:after="0" w:line="240" w:lineRule="auto"/>
        <w:rPr>
          <w:rFonts w:asciiTheme="majorBidi" w:hAnsiTheme="majorBidi" w:cstheme="majorBidi"/>
          <w:color w:val="000000"/>
          <w:sz w:val="20"/>
          <w:szCs w:val="20"/>
        </w:rPr>
      </w:pPr>
      <w:r>
        <w:rPr>
          <w:rFonts w:asciiTheme="majorBidi" w:hAnsiTheme="majorBidi" w:cstheme="majorBidi"/>
          <w:vertAlign w:val="superscript"/>
        </w:rPr>
        <w:footnoteRef/>
      </w:r>
      <w:r>
        <w:rPr>
          <w:rFonts w:asciiTheme="majorBidi" w:hAnsiTheme="majorBidi" w:cstheme="majorBidi"/>
          <w:color w:val="000000"/>
          <w:sz w:val="20"/>
          <w:szCs w:val="20"/>
        </w:rPr>
        <w:t xml:space="preserve"> . </w:t>
      </w:r>
      <w:proofErr w:type="spellStart"/>
      <w:r>
        <w:rPr>
          <w:rFonts w:asciiTheme="majorBidi" w:hAnsiTheme="majorBidi" w:cstheme="majorBidi"/>
          <w:color w:val="000000"/>
          <w:sz w:val="20"/>
          <w:szCs w:val="20"/>
        </w:rPr>
        <w:t>Mitra</w:t>
      </w:r>
      <w:proofErr w:type="spellEnd"/>
    </w:p>
  </w:footnote>
  <w:footnote w:id="15">
    <w:p w:rsidR="000536E0" w:rsidRDefault="000536E0" w:rsidP="000536E0">
      <w:pPr>
        <w:spacing w:after="0" w:line="240" w:lineRule="auto"/>
        <w:rPr>
          <w:color w:val="000000"/>
          <w:sz w:val="20"/>
          <w:szCs w:val="20"/>
        </w:rPr>
      </w:pPr>
      <w:r>
        <w:rPr>
          <w:rFonts w:asciiTheme="majorBidi" w:hAnsiTheme="majorBidi" w:cstheme="majorBidi"/>
          <w:vertAlign w:val="superscript"/>
        </w:rPr>
        <w:footnoteRef/>
      </w:r>
      <w:r>
        <w:rPr>
          <w:rFonts w:asciiTheme="majorBidi" w:hAnsiTheme="majorBidi" w:cstheme="majorBidi"/>
          <w:color w:val="000000"/>
          <w:sz w:val="20"/>
          <w:szCs w:val="20"/>
        </w:rPr>
        <w:t xml:space="preserve"> . </w:t>
      </w:r>
      <w:proofErr w:type="spellStart"/>
      <w:r>
        <w:rPr>
          <w:rFonts w:asciiTheme="majorBidi" w:hAnsiTheme="majorBidi" w:cstheme="majorBidi"/>
          <w:color w:val="000000"/>
          <w:sz w:val="20"/>
          <w:szCs w:val="20"/>
        </w:rPr>
        <w:t>Gotti</w:t>
      </w:r>
      <w:proofErr w:type="spell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E0"/>
    <w:rsid w:val="000536E0"/>
    <w:rsid w:val="00085144"/>
    <w:rsid w:val="00734198"/>
    <w:rsid w:val="00A3336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61AE5F-CF8F-4504-9EDF-25BF90287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6E0"/>
    <w:pPr>
      <w:spacing w:after="200" w:line="276"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536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36E0"/>
    <w:rPr>
      <w:rFonts w:ascii="Calibri" w:eastAsia="Calibri" w:hAnsi="Calibri" w:cs="Calibri"/>
      <w:sz w:val="20"/>
      <w:szCs w:val="20"/>
    </w:rPr>
  </w:style>
  <w:style w:type="paragraph" w:styleId="Subtitle">
    <w:name w:val="Subtitle"/>
    <w:basedOn w:val="Normal"/>
    <w:next w:val="Normal"/>
    <w:link w:val="SubtitleChar"/>
    <w:uiPriority w:val="11"/>
    <w:qFormat/>
    <w:rsid w:val="000536E0"/>
    <w:pPr>
      <w:bidi/>
      <w:spacing w:after="0" w:line="240" w:lineRule="auto"/>
      <w:jc w:val="center"/>
    </w:pPr>
    <w:rPr>
      <w:rFonts w:ascii="Times New Roman" w:eastAsia="Times New Roman" w:hAnsi="Times New Roman" w:cs="Times New Roman"/>
      <w:sz w:val="28"/>
      <w:szCs w:val="28"/>
    </w:rPr>
  </w:style>
  <w:style w:type="character" w:customStyle="1" w:styleId="SubtitleChar">
    <w:name w:val="Subtitle Char"/>
    <w:basedOn w:val="DefaultParagraphFont"/>
    <w:link w:val="Subtitle"/>
    <w:uiPriority w:val="11"/>
    <w:rsid w:val="000536E0"/>
    <w:rPr>
      <w:rFonts w:ascii="Times New Roman" w:eastAsia="Times New Roman" w:hAnsi="Times New Roman" w:cs="Times New Roman"/>
      <w:sz w:val="28"/>
      <w:szCs w:val="28"/>
    </w:rPr>
  </w:style>
  <w:style w:type="character" w:styleId="FootnoteReference">
    <w:name w:val="footnote reference"/>
    <w:aliases w:val="شماره زيرنويس,مرجع پاورقي,Footnote,ÔãÇÑå ÒíÑäæíÓ,Footnote text,Omid Footnote"/>
    <w:semiHidden/>
    <w:unhideWhenUsed/>
    <w:qFormat/>
    <w:rsid w:val="000536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969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2022-02-07T06:09:00Z</dcterms:created>
  <dcterms:modified xsi:type="dcterms:W3CDTF">2022-02-07T06:09:00Z</dcterms:modified>
</cp:coreProperties>
</file>